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2DF6F" w14:textId="568F9BFB" w:rsidR="0012476C" w:rsidRPr="00CE1AF3" w:rsidRDefault="0012476C" w:rsidP="0012476C">
      <w:pPr>
        <w:pStyle w:val="Titre1"/>
        <w:rPr>
          <w:b w:val="0"/>
        </w:rPr>
      </w:pPr>
      <w:r w:rsidRPr="00CE1AF3">
        <w:rPr>
          <w:b w:val="0"/>
        </w:rPr>
        <w:t>Ruralités et urbanités en débat </w:t>
      </w:r>
      <w:proofErr w:type="gramStart"/>
      <w:r w:rsidRPr="00CE1AF3">
        <w:rPr>
          <w:b w:val="0"/>
        </w:rPr>
        <w:t>:</w:t>
      </w:r>
      <w:proofErr w:type="gramEnd"/>
      <w:r w:rsidRPr="00CE1AF3">
        <w:rPr>
          <w:b w:val="0"/>
        </w:rPr>
        <w:br/>
        <w:t>changer de regard pour innover.</w:t>
      </w:r>
    </w:p>
    <w:p w14:paraId="0D4DDD71" w14:textId="77777777" w:rsidR="002E640C" w:rsidRDefault="002E640C" w:rsidP="00B10D79">
      <w:pPr>
        <w:jc w:val="both"/>
      </w:pPr>
    </w:p>
    <w:p w14:paraId="7546D497" w14:textId="06AA3163" w:rsidR="00332EF0" w:rsidRPr="00CE1AF3" w:rsidRDefault="00332EF0" w:rsidP="000B21CE">
      <w:pPr>
        <w:pStyle w:val="Titre2"/>
        <w:rPr>
          <w:b w:val="0"/>
        </w:rPr>
      </w:pPr>
      <w:r w:rsidRPr="00CE1AF3">
        <w:rPr>
          <w:b w:val="0"/>
        </w:rPr>
        <w:t>Contexte et problématique</w:t>
      </w:r>
    </w:p>
    <w:p w14:paraId="0F49D4B8" w14:textId="77777777" w:rsidR="000B21CE" w:rsidRPr="000B21CE" w:rsidRDefault="000B21CE" w:rsidP="000B21CE"/>
    <w:p w14:paraId="4D5D12E1" w14:textId="1ACD4C40" w:rsidR="00332EF0" w:rsidRDefault="00332EF0" w:rsidP="00B10D79">
      <w:pPr>
        <w:jc w:val="both"/>
      </w:pPr>
      <w:r>
        <w:t xml:space="preserve">Depuis </w:t>
      </w:r>
      <w:r w:rsidR="00F02398">
        <w:t xml:space="preserve">les années 1980, </w:t>
      </w:r>
      <w:r>
        <w:t>de nombre</w:t>
      </w:r>
      <w:r w:rsidR="00F02398">
        <w:t xml:space="preserve">ux chercheurs se sont succédés, </w:t>
      </w:r>
      <w:r w:rsidR="00220236">
        <w:t>notamment dans le champ de la</w:t>
      </w:r>
      <w:r>
        <w:t xml:space="preserve"> géographie, </w:t>
      </w:r>
      <w:r w:rsidR="00220236">
        <w:t>pour tenter de</w:t>
      </w:r>
      <w:r>
        <w:t xml:space="preserve"> mettre fin à l’opposition entre </w:t>
      </w:r>
      <w:r w:rsidRPr="00332EF0">
        <w:rPr>
          <w:i/>
        </w:rPr>
        <w:t>ville</w:t>
      </w:r>
      <w:r>
        <w:t xml:space="preserve"> et </w:t>
      </w:r>
      <w:r w:rsidRPr="00332EF0">
        <w:rPr>
          <w:i/>
        </w:rPr>
        <w:t>campagne,</w:t>
      </w:r>
      <w:r>
        <w:t xml:space="preserve"> entre </w:t>
      </w:r>
      <w:r w:rsidRPr="00332EF0">
        <w:rPr>
          <w:i/>
        </w:rPr>
        <w:t>urbain</w:t>
      </w:r>
      <w:r>
        <w:t xml:space="preserve"> et </w:t>
      </w:r>
      <w:r w:rsidRPr="00332EF0">
        <w:rPr>
          <w:i/>
        </w:rPr>
        <w:t>rural</w:t>
      </w:r>
      <w:r w:rsidR="00F02398">
        <w:t xml:space="preserve"> (</w:t>
      </w:r>
      <w:r w:rsidR="00F02398" w:rsidRPr="00427CA9">
        <w:rPr>
          <w:rStyle w:val="Titredulivre"/>
        </w:rPr>
        <w:t>Vanier, 2007 ; Roncayolo, 1992 ; Corboz, 1983</w:t>
      </w:r>
      <w:r w:rsidR="00F02398">
        <w:t>).</w:t>
      </w:r>
      <w:r w:rsidR="00610D92">
        <w:t xml:space="preserve"> La deuxième moitié du XX</w:t>
      </w:r>
      <w:r w:rsidR="00610D92" w:rsidRPr="00610D92">
        <w:rPr>
          <w:vertAlign w:val="superscript"/>
        </w:rPr>
        <w:t>e</w:t>
      </w:r>
      <w:r w:rsidR="00610D92">
        <w:t xml:space="preserve"> siècle a en effet vu, pour les besoins de ses sociétés, croître les villes et naître de nouvelles formes d’ « urbanisations » : les bidonvilles, les grands ensembles, les lotissements</w:t>
      </w:r>
      <w:r w:rsidR="00E0026B">
        <w:t>, etc</w:t>
      </w:r>
      <w:r w:rsidR="00610D92">
        <w:t>. Le périurbain a vu</w:t>
      </w:r>
      <w:r w:rsidR="00CC4B28">
        <w:t xml:space="preserve"> le jour et</w:t>
      </w:r>
      <w:r w:rsidR="002734B8">
        <w:t xml:space="preserve"> </w:t>
      </w:r>
      <w:r w:rsidR="00E7049A">
        <w:t>d</w:t>
      </w:r>
      <w:r w:rsidR="00CC4B28">
        <w:t>ès lors</w:t>
      </w:r>
      <w:r w:rsidR="002734B8">
        <w:t>,</w:t>
      </w:r>
      <w:r w:rsidR="00E7049A">
        <w:t xml:space="preserve"> la limite entre </w:t>
      </w:r>
      <w:r w:rsidR="00E7049A" w:rsidRPr="006134DE">
        <w:rPr>
          <w:i/>
        </w:rPr>
        <w:t>rural</w:t>
      </w:r>
      <w:r w:rsidR="00E7049A">
        <w:t xml:space="preserve"> et </w:t>
      </w:r>
      <w:r w:rsidR="00E7049A" w:rsidRPr="006134DE">
        <w:rPr>
          <w:i/>
        </w:rPr>
        <w:t>urbain</w:t>
      </w:r>
      <w:r w:rsidR="00E7049A">
        <w:t xml:space="preserve"> </w:t>
      </w:r>
      <w:r w:rsidR="00A96AE9">
        <w:t>est devenue</w:t>
      </w:r>
      <w:r w:rsidR="00E7049A">
        <w:t xml:space="preserve"> moins saisissable</w:t>
      </w:r>
      <w:r w:rsidR="00E0026B">
        <w:t>.</w:t>
      </w:r>
    </w:p>
    <w:p w14:paraId="5416D549" w14:textId="77777777" w:rsidR="002E45A7" w:rsidRDefault="002E45A7" w:rsidP="00B10D79">
      <w:pPr>
        <w:jc w:val="both"/>
      </w:pPr>
    </w:p>
    <w:p w14:paraId="31C443B3" w14:textId="08BDC0FD" w:rsidR="00427CA9" w:rsidRDefault="00427CA9" w:rsidP="00B10D79">
      <w:pPr>
        <w:jc w:val="both"/>
      </w:pPr>
      <w:r>
        <w:t>Pour André Corboz, «</w:t>
      </w:r>
      <w:r w:rsidRPr="007A7119">
        <w:rPr>
          <w:i/>
        </w:rPr>
        <w:t xml:space="preserve"> l'opposition ville-campagne cesse, parce que la ville l'a emporté</w:t>
      </w:r>
      <w:r w:rsidR="00485E5B">
        <w:rPr>
          <w:i/>
        </w:rPr>
        <w:t xml:space="preserve"> </w:t>
      </w:r>
      <w:r w:rsidRPr="00427CA9">
        <w:t>»</w:t>
      </w:r>
      <w:r>
        <w:t xml:space="preserve"> (</w:t>
      </w:r>
      <w:r w:rsidRPr="00E7590D">
        <w:rPr>
          <w:rStyle w:val="Titredulivre"/>
        </w:rPr>
        <w:t>1983, p.15</w:t>
      </w:r>
      <w:r>
        <w:t>)</w:t>
      </w:r>
      <w:r w:rsidR="00485E5B">
        <w:t xml:space="preserve"> que ce soit dans sa dimension spatiale – l’extension physique des constructions sur les espaces agricoles – ou dans sa dimension sociale, la </w:t>
      </w:r>
      <w:r w:rsidR="00D12AE1">
        <w:t>« </w:t>
      </w:r>
      <w:r w:rsidR="00485E5B" w:rsidRPr="00D12AE1">
        <w:rPr>
          <w:i/>
        </w:rPr>
        <w:t>diffusion des mass media</w:t>
      </w:r>
      <w:r w:rsidR="00D12AE1" w:rsidRPr="00D12AE1">
        <w:rPr>
          <w:i/>
        </w:rPr>
        <w:t> </w:t>
      </w:r>
      <w:r w:rsidR="00D12AE1">
        <w:t>» ayant selon l’auteur concouru à l’uniformisation des modes de vie.</w:t>
      </w:r>
      <w:r w:rsidR="002E45A7">
        <w:t xml:space="preserve"> </w:t>
      </w:r>
      <w:r w:rsidR="00BF5ABC">
        <w:t>Avec un recul de plus de trente-cinq ans, nous pouvons apporter quelques commentaires sur cette lecture : d’une part, la campagne n’a p</w:t>
      </w:r>
      <w:r w:rsidR="0077748D">
        <w:t>as disparu, ou du moins existe-t-il</w:t>
      </w:r>
      <w:r w:rsidR="00BF5ABC">
        <w:t xml:space="preserve"> encore des espaces que nous nous représentons comme étant du « rural ». </w:t>
      </w:r>
      <w:r w:rsidR="00436669">
        <w:t xml:space="preserve">D’autre part, nous assistons depuis une dizaine d’années à une véritable pénétration de l’agricole et du « vert » en ville. </w:t>
      </w:r>
      <w:r w:rsidR="0077748D">
        <w:t>Les politiques de développement durable ont mis en évidence la nécessité d’un rapprochement entre production et consommation alimentaire ; ainsi que les bienfaits de la végétation en ville (bien-être, santé, pollution).</w:t>
      </w:r>
      <w:r w:rsidR="00157CAD">
        <w:t xml:space="preserve"> Plus encore, c’est aussi la « sociabilité », la solidarité rurale que l’on peut désormais retrouver en ville, à travers </w:t>
      </w:r>
      <w:r w:rsidR="00C24329">
        <w:t>l’épanouissement de</w:t>
      </w:r>
      <w:r w:rsidR="00157CAD">
        <w:t xml:space="preserve"> nombreuses initiatives comme des cafés solidaires, des jardins partagés, des boîtes à livre</w:t>
      </w:r>
      <w:r w:rsidR="00C15293">
        <w:t>s</w:t>
      </w:r>
      <w:r w:rsidR="00157CAD">
        <w:t xml:space="preserve"> etc.</w:t>
      </w:r>
      <w:r w:rsidR="0030582F">
        <w:t xml:space="preserve"> </w:t>
      </w:r>
    </w:p>
    <w:p w14:paraId="6CA4AAB0" w14:textId="61CB69C7" w:rsidR="00061D23" w:rsidRDefault="0030582F" w:rsidP="00B10D79">
      <w:pPr>
        <w:jc w:val="both"/>
      </w:pPr>
      <w:r>
        <w:t xml:space="preserve">Par le premier mouvement d’influence de la ville en direction de la campagne, puis </w:t>
      </w:r>
      <w:r w:rsidR="005C6918">
        <w:t xml:space="preserve">un second mouvement </w:t>
      </w:r>
      <w:r>
        <w:t xml:space="preserve">de la campagne vers la ville, tous les critères qui permettaient autrefois de classer un espace, un mode de vie comme urbain ou rural, sont remis en question. </w:t>
      </w:r>
      <w:r w:rsidR="00FA0F0C">
        <w:t>Aujourd’hui, plus encore qu’il y a trente ans, il est</w:t>
      </w:r>
      <w:r w:rsidR="002723DD">
        <w:t xml:space="preserve"> nécessaire</w:t>
      </w:r>
      <w:r w:rsidR="00FA0F0C">
        <w:t xml:space="preserve"> de rechercher d’autres termes, d’autres critères qui pourront </w:t>
      </w:r>
      <w:r w:rsidR="006A16C8">
        <w:t>définir les espaces, en fonction de ce qu’ils sont réellement et non</w:t>
      </w:r>
      <w:r w:rsidR="000032DC">
        <w:t xml:space="preserve"> des représentations </w:t>
      </w:r>
      <w:r w:rsidR="00CD2DE0">
        <w:t xml:space="preserve">qui perdurent </w:t>
      </w:r>
      <w:r w:rsidR="000032DC">
        <w:t xml:space="preserve">dans l’imaginaire collectif. </w:t>
      </w:r>
    </w:p>
    <w:p w14:paraId="5E3AFAD1" w14:textId="77777777" w:rsidR="002B623D" w:rsidRDefault="002B623D" w:rsidP="00B10D79">
      <w:pPr>
        <w:jc w:val="both"/>
        <w:rPr>
          <w:b/>
        </w:rPr>
      </w:pPr>
    </w:p>
    <w:p w14:paraId="12965B07" w14:textId="1A669697" w:rsidR="002B623D" w:rsidRPr="00CE1AF3" w:rsidRDefault="00FA0F0C" w:rsidP="000B21CE">
      <w:pPr>
        <w:pStyle w:val="Titre2"/>
        <w:rPr>
          <w:b w:val="0"/>
        </w:rPr>
      </w:pPr>
      <w:r w:rsidRPr="00CE1AF3">
        <w:rPr>
          <w:b w:val="0"/>
        </w:rPr>
        <w:t xml:space="preserve">Méthodologie et résultats </w:t>
      </w:r>
      <w:r w:rsidR="00BC59F5" w:rsidRPr="00CE1AF3">
        <w:rPr>
          <w:b w:val="0"/>
        </w:rPr>
        <w:t xml:space="preserve"> </w:t>
      </w:r>
      <w:r w:rsidR="00526B6A" w:rsidRPr="00CE1AF3">
        <w:rPr>
          <w:b w:val="0"/>
        </w:rPr>
        <w:t xml:space="preserve"> </w:t>
      </w:r>
    </w:p>
    <w:p w14:paraId="1E725CAE" w14:textId="77777777" w:rsidR="000B21CE" w:rsidRPr="000B21CE" w:rsidRDefault="000B21CE" w:rsidP="000B21CE"/>
    <w:p w14:paraId="762D6DB6" w14:textId="77777777" w:rsidR="00806903" w:rsidRDefault="00806903" w:rsidP="00806903">
      <w:pPr>
        <w:jc w:val="both"/>
      </w:pPr>
      <w:r>
        <w:t xml:space="preserve">La communication présentera en premier lieu le contexte scientifique et sociétal ci-dessus, pour ensuite développer la manière avec laquelle certains </w:t>
      </w:r>
      <w:r>
        <w:lastRenderedPageBreak/>
        <w:t>archiectes et/ou urbanistes décrivent les espaces auxquels ils sont confrontés, en limitant voire en banissant l’utilisation des termes « urbain » et « rural ». Nous parlerons d’Alberto Magnaghi (et plus généralement les territorialistes italiens), de Paola Viganò et d’Antoine Brès.</w:t>
      </w:r>
    </w:p>
    <w:p w14:paraId="47D6D342" w14:textId="77777777" w:rsidR="00806903" w:rsidRDefault="00806903" w:rsidP="00806903">
      <w:pPr>
        <w:jc w:val="both"/>
      </w:pPr>
    </w:p>
    <w:p w14:paraId="1773536F" w14:textId="77777777" w:rsidR="00806903" w:rsidRDefault="00806903" w:rsidP="00806903">
      <w:pPr>
        <w:jc w:val="both"/>
      </w:pPr>
      <w:r>
        <w:t>La représentation des territoires, chez Magnaghi, s’appuie principalement sur la notion de « </w:t>
      </w:r>
      <w:r w:rsidRPr="007930A5">
        <w:rPr>
          <w:i/>
        </w:rPr>
        <w:t>patrimoine territorial </w:t>
      </w:r>
      <w:r>
        <w:t>», ou « </w:t>
      </w:r>
      <w:r w:rsidRPr="00F52D8B">
        <w:rPr>
          <w:i/>
        </w:rPr>
        <w:t>l’ensemble des structures de longue durée produite par la coévolution de l’homme avec le milieu ambiant</w:t>
      </w:r>
      <w:r>
        <w:t> » (</w:t>
      </w:r>
      <w:r w:rsidRPr="000B1EEC">
        <w:rPr>
          <w:rStyle w:val="Rfrenceintense"/>
        </w:rPr>
        <w:t>Magnaghi, 2014, 2010</w:t>
      </w:r>
      <w:r>
        <w:t xml:space="preserve">). Avec cette vision, la ville est une structure de longue durée, au même titre les plaines agricoles, les hangars industriels, les infrastructures. Si les mots </w:t>
      </w:r>
      <w:r w:rsidRPr="009350DE">
        <w:rPr>
          <w:i/>
        </w:rPr>
        <w:t>rural, urbain, ville, campagne</w:t>
      </w:r>
      <w:r>
        <w:t xml:space="preserve"> sont présents dans les publications des territorialistes, ils n’en guident pas la description des espaces, qui se réfèrent, si ce n’est au </w:t>
      </w:r>
      <w:r w:rsidRPr="00FE1120">
        <w:rPr>
          <w:i/>
        </w:rPr>
        <w:t>patrimoine territorial</w:t>
      </w:r>
      <w:r>
        <w:t xml:space="preserve">, également à la notion d’un </w:t>
      </w:r>
      <w:r w:rsidRPr="001D21AD">
        <w:rPr>
          <w:i/>
        </w:rPr>
        <w:t>écosystème territorial</w:t>
      </w:r>
      <w:r>
        <w:t xml:space="preserve"> (</w:t>
      </w:r>
      <w:r w:rsidRPr="009350DE">
        <w:rPr>
          <w:rStyle w:val="Rfrenceintense"/>
        </w:rPr>
        <w:t>Saragosa, 2005</w:t>
      </w:r>
      <w:r>
        <w:t xml:space="preserve">), et le raisonnement s’appuie sur les interactions entre les éléments anthropiques et bio-physiques. </w:t>
      </w:r>
    </w:p>
    <w:p w14:paraId="3E54959A" w14:textId="0B20AC99" w:rsidR="00806903" w:rsidRDefault="00806903" w:rsidP="00806903">
      <w:pPr>
        <w:jc w:val="both"/>
      </w:pPr>
      <w:r w:rsidRPr="006F645B">
        <w:t>Paola</w:t>
      </w:r>
      <w:r>
        <w:t xml:space="preserve"> Viganò s’intéresse quant à elle à la question de la « </w:t>
      </w:r>
      <w:r w:rsidRPr="00A0072A">
        <w:rPr>
          <w:i/>
        </w:rPr>
        <w:t>dispersion des étabissements humains</w:t>
      </w:r>
      <w:r>
        <w:t> » (</w:t>
      </w:r>
      <w:r w:rsidRPr="006F645B">
        <w:rPr>
          <w:rStyle w:val="Titredulivre"/>
        </w:rPr>
        <w:t>Viganò, 2004</w:t>
      </w:r>
      <w:r>
        <w:t>). Pour elle, projeter la ville de demain implique de reconnaître et composer avec cette « </w:t>
      </w:r>
      <w:r w:rsidRPr="000E16A2">
        <w:rPr>
          <w:i/>
        </w:rPr>
        <w:t>nouvelle forme urbaine </w:t>
      </w:r>
      <w:r>
        <w:t xml:space="preserve">» </w:t>
      </w:r>
      <w:r w:rsidRPr="00A81E6D">
        <w:t>(</w:t>
      </w:r>
      <w:r w:rsidRPr="003628D5">
        <w:rPr>
          <w:rStyle w:val="Rfrenceintense"/>
        </w:rPr>
        <w:t>Ibid.</w:t>
      </w:r>
      <w:r w:rsidRPr="00A81E6D">
        <w:t>)</w:t>
      </w:r>
      <w:r>
        <w:rPr>
          <w:rStyle w:val="Rfrenceintense"/>
        </w:rPr>
        <w:t xml:space="preserve"> </w:t>
      </w:r>
      <w:r w:rsidRPr="003628D5">
        <w:t>qu’est la dispersion</w:t>
      </w:r>
      <w:r>
        <w:t>. Elle n’est alors plus à considérer alors comme un accident, une fracture dans l’équilibre ville-campagne, mais comme une  occasion de rendre le territoire « </w:t>
      </w:r>
      <w:r w:rsidRPr="000E16A2">
        <w:rPr>
          <w:i/>
        </w:rPr>
        <w:t>isotrope</w:t>
      </w:r>
      <w:r>
        <w:t> »</w:t>
      </w:r>
      <w:r w:rsidRPr="003628D5">
        <w:t xml:space="preserve"> </w:t>
      </w:r>
      <w:r>
        <w:t>(</w:t>
      </w:r>
      <w:r>
        <w:rPr>
          <w:rStyle w:val="Titredulivre"/>
        </w:rPr>
        <w:t>Viganò, 2012</w:t>
      </w:r>
      <w:r w:rsidR="00A81E6D">
        <w:t xml:space="preserve">), </w:t>
      </w:r>
      <w:r>
        <w:t xml:space="preserve">où la biodiversité, l’habitat, les activités, les infrastructures seraient reconfigurées de manière à sortir d’une logique de centre et de périphérie. </w:t>
      </w:r>
    </w:p>
    <w:p w14:paraId="4DFC0B56" w14:textId="77777777" w:rsidR="00806903" w:rsidRDefault="00806903" w:rsidP="00806903">
      <w:pPr>
        <w:jc w:val="both"/>
      </w:pPr>
      <w:r>
        <w:t>Pour terminer Antoine Brès avance le terme de « </w:t>
      </w:r>
      <w:r w:rsidRPr="008A1B55">
        <w:rPr>
          <w:i/>
        </w:rPr>
        <w:t>figures discrètes de l’urbain </w:t>
      </w:r>
      <w:r>
        <w:t>» (</w:t>
      </w:r>
      <w:r w:rsidRPr="008A1B55">
        <w:rPr>
          <w:rStyle w:val="Titredulivre"/>
        </w:rPr>
        <w:t>Brès, 2012</w:t>
      </w:r>
      <w:r>
        <w:t xml:space="preserve">), pour décrire le même phénomène de dispersion, de fragmentation de l’habitat et des activités. Pour lui, la faible densité est le modèle d’implantation le plus courant ; l’aggloméré est à l’inverse, une exception. Il nous propose ainsi un renversement du paradigme actuel dans lequel la ville est au centre de toutes les questions. </w:t>
      </w:r>
    </w:p>
    <w:p w14:paraId="69C7B634" w14:textId="77777777" w:rsidR="00FF28D3" w:rsidRDefault="00FF28D3" w:rsidP="000B21CE">
      <w:pPr>
        <w:pStyle w:val="Titre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14:paraId="245A3DC7" w14:textId="72B8170B" w:rsidR="000B21CE" w:rsidRPr="00CE1AF3" w:rsidRDefault="000B21CE" w:rsidP="000B21CE">
      <w:pPr>
        <w:pStyle w:val="Titre2"/>
        <w:rPr>
          <w:b w:val="0"/>
        </w:rPr>
      </w:pPr>
      <w:r w:rsidRPr="00CE1AF3">
        <w:rPr>
          <w:b w:val="0"/>
        </w:rPr>
        <w:t>Mots-clés</w:t>
      </w:r>
    </w:p>
    <w:p w14:paraId="1B590300" w14:textId="00B8F416" w:rsidR="000B21CE" w:rsidRPr="000B21CE" w:rsidRDefault="000B21CE" w:rsidP="000B21CE">
      <w:r>
        <w:t>Rural ; urbain ; urbanisation ; territoire ; représentation ; innovation</w:t>
      </w:r>
    </w:p>
    <w:p w14:paraId="55FB56BF" w14:textId="77777777" w:rsidR="00E7590D" w:rsidRDefault="00E7590D" w:rsidP="00B10D79">
      <w:pPr>
        <w:jc w:val="both"/>
      </w:pPr>
    </w:p>
    <w:p w14:paraId="1AA1CB29" w14:textId="4BFBA24F" w:rsidR="00E7590D" w:rsidRDefault="00E7590D" w:rsidP="000B21CE">
      <w:pPr>
        <w:pStyle w:val="Titre2"/>
        <w:rPr>
          <w:rStyle w:val="lev"/>
        </w:rPr>
      </w:pPr>
      <w:r w:rsidRPr="00E7590D">
        <w:rPr>
          <w:rStyle w:val="lev"/>
        </w:rPr>
        <w:t>Bibliographie</w:t>
      </w:r>
    </w:p>
    <w:p w14:paraId="1C18F36C" w14:textId="77777777" w:rsidR="003F395E" w:rsidRDefault="003F395E" w:rsidP="000B21CE">
      <w:pPr>
        <w:ind w:hanging="480"/>
        <w:jc w:val="both"/>
        <w:rPr>
          <w:rFonts w:eastAsia="Times New Roman" w:cs="Times New Roman"/>
        </w:rPr>
      </w:pPr>
    </w:p>
    <w:p w14:paraId="3A53EFF2" w14:textId="7AFACF21" w:rsidR="00E7590D" w:rsidRDefault="007D5155" w:rsidP="000B21CE">
      <w:pPr>
        <w:jc w:val="both"/>
      </w:pPr>
      <w:r>
        <w:t xml:space="preserve">BRÈS, </w:t>
      </w:r>
      <w:r w:rsidR="00E7590D" w:rsidRPr="007D5155">
        <w:t>Antoine</w:t>
      </w:r>
      <w:r w:rsidRPr="007D5155">
        <w:t>, 2015</w:t>
      </w:r>
      <w:r w:rsidR="00E7590D" w:rsidRPr="00E7590D">
        <w:t xml:space="preserve">. </w:t>
      </w:r>
      <w:r w:rsidR="00E7590D" w:rsidRPr="00E7590D">
        <w:rPr>
          <w:i/>
          <w:iCs/>
        </w:rPr>
        <w:t>Figures discrètes de l’urbain</w:t>
      </w:r>
      <w:r w:rsidR="00E7590D" w:rsidRPr="00E7590D">
        <w:t>. Genève: Métispresses</w:t>
      </w:r>
      <w:r w:rsidR="00A54616">
        <w:t>.</w:t>
      </w:r>
      <w:bookmarkStart w:id="0" w:name="_GoBack"/>
      <w:bookmarkEnd w:id="0"/>
    </w:p>
    <w:p w14:paraId="1ACD37D7" w14:textId="77777777" w:rsidR="00E7590D" w:rsidRDefault="00E7590D" w:rsidP="000B21CE">
      <w:pPr>
        <w:jc w:val="both"/>
      </w:pPr>
    </w:p>
    <w:p w14:paraId="7D452D65" w14:textId="58016B55" w:rsidR="007D5155" w:rsidRDefault="007D5155" w:rsidP="000B21CE">
      <w:pPr>
        <w:jc w:val="both"/>
      </w:pPr>
      <w:r>
        <w:t xml:space="preserve">CORBOZ, </w:t>
      </w:r>
      <w:r w:rsidR="00E7590D" w:rsidRPr="00E7590D">
        <w:t>André</w:t>
      </w:r>
      <w:r>
        <w:t>, 1983</w:t>
      </w:r>
      <w:r w:rsidR="00E7590D" w:rsidRPr="00E7590D">
        <w:t xml:space="preserve">. “Le territoire comme palimpseste.” </w:t>
      </w:r>
      <w:r w:rsidR="00E7590D" w:rsidRPr="00E7590D">
        <w:rPr>
          <w:i/>
          <w:iCs/>
        </w:rPr>
        <w:t>Diogène</w:t>
      </w:r>
      <w:r w:rsidR="00E7590D" w:rsidRPr="00E7590D">
        <w:t>, no. 121 (January 1983): 14–35.</w:t>
      </w:r>
    </w:p>
    <w:p w14:paraId="22DCAF49" w14:textId="77777777" w:rsidR="00CE5225" w:rsidRDefault="00CE5225" w:rsidP="000B21CE">
      <w:pPr>
        <w:jc w:val="both"/>
      </w:pPr>
    </w:p>
    <w:p w14:paraId="1D5D74AA" w14:textId="67E85B3F" w:rsidR="00CE5225" w:rsidRDefault="00CE5225" w:rsidP="00CE5225">
      <w:r>
        <w:t>MAGNAGHI, Alberto, 2010</w:t>
      </w:r>
      <w:r>
        <w:t xml:space="preserve"> </w:t>
      </w:r>
      <w:r>
        <w:rPr>
          <w:i/>
          <w:iCs/>
        </w:rPr>
        <w:t>Il progetto locale. Verso la coscienza di luogo.</w:t>
      </w:r>
      <w:r>
        <w:t xml:space="preserve"> 2ème éditi</w:t>
      </w:r>
      <w:r>
        <w:t>on. Torino: Bollati Boringhieri</w:t>
      </w:r>
      <w:r>
        <w:t>.</w:t>
      </w:r>
    </w:p>
    <w:p w14:paraId="4DE3E395" w14:textId="77777777" w:rsidR="00E7590D" w:rsidRPr="00E7590D" w:rsidRDefault="00E7590D" w:rsidP="000B21CE">
      <w:pPr>
        <w:jc w:val="both"/>
      </w:pPr>
    </w:p>
    <w:p w14:paraId="18AC0875" w14:textId="667A59D7" w:rsidR="00E7590D" w:rsidRDefault="007D5155" w:rsidP="000B21CE">
      <w:pPr>
        <w:jc w:val="both"/>
      </w:pPr>
      <w:r>
        <w:t>RONCAYOLO</w:t>
      </w:r>
      <w:r w:rsidR="00E7590D" w:rsidRPr="00E7590D">
        <w:t xml:space="preserve">, Marcel, </w:t>
      </w:r>
      <w:r>
        <w:t>PAQUOT Thierry, 1992</w:t>
      </w:r>
      <w:r w:rsidR="00E7590D" w:rsidRPr="00E7590D">
        <w:t xml:space="preserve">. </w:t>
      </w:r>
      <w:r w:rsidR="00E7590D" w:rsidRPr="00E7590D">
        <w:rPr>
          <w:i/>
          <w:iCs/>
        </w:rPr>
        <w:t>Villes et civilisations urbaines XVIIIe-XXe siècle</w:t>
      </w:r>
      <w:r>
        <w:t>. Paris: Larousse</w:t>
      </w:r>
      <w:r w:rsidR="00E7590D" w:rsidRPr="00E7590D">
        <w:t>.</w:t>
      </w:r>
    </w:p>
    <w:p w14:paraId="6E046998" w14:textId="77777777" w:rsidR="00E7590D" w:rsidRDefault="00E7590D" w:rsidP="000B21CE">
      <w:pPr>
        <w:jc w:val="both"/>
      </w:pPr>
    </w:p>
    <w:p w14:paraId="4B17E04B" w14:textId="46ADB269" w:rsidR="00E7590D" w:rsidRPr="00E7590D" w:rsidRDefault="006C63B1" w:rsidP="000B21CE">
      <w:pPr>
        <w:jc w:val="both"/>
      </w:pPr>
      <w:r>
        <w:t>VANIER,</w:t>
      </w:r>
      <w:r w:rsidR="00E7590D" w:rsidRPr="00E7590D">
        <w:t xml:space="preserve"> Martin</w:t>
      </w:r>
      <w:r>
        <w:t>, 2005</w:t>
      </w:r>
      <w:r w:rsidR="00E7590D" w:rsidRPr="00E7590D">
        <w:t>. “Rural/Urbain: Qu’est-Ce Qu’on Sait Pas</w:t>
      </w:r>
      <w:r w:rsidR="00E7590D" w:rsidRPr="00E7590D">
        <w:rPr>
          <w:rFonts w:ascii="Times New Roman" w:hAnsi="Times New Roman"/>
        </w:rPr>
        <w:t> </w:t>
      </w:r>
      <w:r w:rsidR="00E7590D" w:rsidRPr="00E7590D">
        <w:t xml:space="preserve">?” In </w:t>
      </w:r>
      <w:r w:rsidR="00E7590D" w:rsidRPr="00E7590D">
        <w:rPr>
          <w:i/>
          <w:iCs/>
        </w:rPr>
        <w:t>ARLAUD (S.), JEAN (Y.), ROYOUX (D.) Rural-Urbain: Nouveaux Liens, Nouvelles Frontières</w:t>
      </w:r>
      <w:r w:rsidR="00E7590D" w:rsidRPr="00E7590D">
        <w:t>, 25–32. Rennes: P</w:t>
      </w:r>
      <w:r>
        <w:t>resses Universitaires de Rennes</w:t>
      </w:r>
      <w:r w:rsidR="00E7590D" w:rsidRPr="00E7590D">
        <w:t>.</w:t>
      </w:r>
    </w:p>
    <w:p w14:paraId="414A0BED" w14:textId="77777777" w:rsidR="00E7590D" w:rsidRDefault="00E7590D" w:rsidP="000B21CE">
      <w:pPr>
        <w:jc w:val="both"/>
      </w:pPr>
    </w:p>
    <w:p w14:paraId="67F3183C" w14:textId="22985539" w:rsidR="00E7590D" w:rsidRDefault="006C63B1" w:rsidP="000B21CE">
      <w:pPr>
        <w:jc w:val="both"/>
      </w:pPr>
      <w:r>
        <w:t>VIGANÒ,</w:t>
      </w:r>
      <w:r w:rsidR="00E7590D" w:rsidRPr="00E7590D">
        <w:t xml:space="preserve"> Paola</w:t>
      </w:r>
      <w:r>
        <w:t>, 2012</w:t>
      </w:r>
      <w:r w:rsidR="00E7590D" w:rsidRPr="00E7590D">
        <w:t xml:space="preserve">. </w:t>
      </w:r>
      <w:r w:rsidR="00E7590D" w:rsidRPr="00E7590D">
        <w:rPr>
          <w:i/>
          <w:iCs/>
        </w:rPr>
        <w:t>Les territoires de l’urbanisme: le projet comme producteur de connaissance</w:t>
      </w:r>
      <w:r w:rsidR="00E7590D" w:rsidRPr="00E7590D">
        <w:t>. Vues d’ensemble. Genève: Metispresses.</w:t>
      </w:r>
    </w:p>
    <w:p w14:paraId="4EC4E58F" w14:textId="77777777" w:rsidR="00CE5225" w:rsidRPr="00E7590D" w:rsidRDefault="00CE5225" w:rsidP="00CE5225"/>
    <w:p w14:paraId="43CDF1E0" w14:textId="7E054B80" w:rsidR="00CE5225" w:rsidRDefault="00CE5225" w:rsidP="00CE5225">
      <w:pPr>
        <w:rPr>
          <w:rFonts w:eastAsia="Times New Roman" w:cs="Times New Roman"/>
        </w:rPr>
      </w:pPr>
      <w:r>
        <w:rPr>
          <w:rFonts w:eastAsia="Times New Roman" w:cs="Times New Roman"/>
        </w:rPr>
        <w:t>VIGANÒ</w:t>
      </w:r>
      <w:r>
        <w:rPr>
          <w:rFonts w:eastAsia="Times New Roman" w:cs="Times New Roman"/>
        </w:rPr>
        <w:t>, Paola (dir.)</w:t>
      </w:r>
      <w:r>
        <w:rPr>
          <w:rFonts w:eastAsia="Times New Roman" w:cs="Times New Roman"/>
        </w:rPr>
        <w:t xml:space="preserve">, </w:t>
      </w:r>
      <w:proofErr w:type="gramStart"/>
      <w:r>
        <w:rPr>
          <w:rFonts w:eastAsia="Times New Roman" w:cs="Times New Roman"/>
        </w:rPr>
        <w:t xml:space="preserve">2004 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i/>
          <w:iCs/>
        </w:rPr>
        <w:t>New territories: situations, projects and scenarios for the European city and territory</w:t>
      </w:r>
      <w:r>
        <w:rPr>
          <w:rFonts w:eastAsia="Times New Roman" w:cs="Times New Roman"/>
        </w:rPr>
        <w:t>. Roma: Officina Edizioni</w:t>
      </w:r>
      <w:r>
        <w:rPr>
          <w:rFonts w:eastAsia="Times New Roman" w:cs="Times New Roman"/>
        </w:rPr>
        <w:t>.</w:t>
      </w:r>
    </w:p>
    <w:p w14:paraId="792C260E" w14:textId="77777777" w:rsidR="00E7590D" w:rsidRPr="00E7590D" w:rsidRDefault="00E7590D" w:rsidP="00B10D79">
      <w:pPr>
        <w:jc w:val="both"/>
        <w:rPr>
          <w:rStyle w:val="lev"/>
        </w:rPr>
      </w:pPr>
    </w:p>
    <w:sectPr w:rsidR="00E7590D" w:rsidRPr="00E7590D" w:rsidSect="007C1C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3DC"/>
    <w:multiLevelType w:val="hybridMultilevel"/>
    <w:tmpl w:val="EB107C90"/>
    <w:lvl w:ilvl="0" w:tplc="49A81D5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40"/>
    <w:rsid w:val="000032DC"/>
    <w:rsid w:val="00037652"/>
    <w:rsid w:val="0005728B"/>
    <w:rsid w:val="00061D23"/>
    <w:rsid w:val="000923A6"/>
    <w:rsid w:val="000B21CE"/>
    <w:rsid w:val="0012476C"/>
    <w:rsid w:val="00157CAD"/>
    <w:rsid w:val="0017153D"/>
    <w:rsid w:val="001774F0"/>
    <w:rsid w:val="001D4E40"/>
    <w:rsid w:val="00220236"/>
    <w:rsid w:val="0022308D"/>
    <w:rsid w:val="002723DD"/>
    <w:rsid w:val="002734B8"/>
    <w:rsid w:val="002B623D"/>
    <w:rsid w:val="002E45A7"/>
    <w:rsid w:val="002E640C"/>
    <w:rsid w:val="0030582F"/>
    <w:rsid w:val="00332EF0"/>
    <w:rsid w:val="003F31D2"/>
    <w:rsid w:val="003F395E"/>
    <w:rsid w:val="004031EF"/>
    <w:rsid w:val="00427CA9"/>
    <w:rsid w:val="00436669"/>
    <w:rsid w:val="00485E5B"/>
    <w:rsid w:val="004A79DB"/>
    <w:rsid w:val="004E35CF"/>
    <w:rsid w:val="00526B6A"/>
    <w:rsid w:val="005C6918"/>
    <w:rsid w:val="00610D92"/>
    <w:rsid w:val="006134DE"/>
    <w:rsid w:val="006A16C8"/>
    <w:rsid w:val="006C63B1"/>
    <w:rsid w:val="00761931"/>
    <w:rsid w:val="0077748D"/>
    <w:rsid w:val="007C1C50"/>
    <w:rsid w:val="007D5155"/>
    <w:rsid w:val="00806903"/>
    <w:rsid w:val="008904CB"/>
    <w:rsid w:val="00A54616"/>
    <w:rsid w:val="00A81E6D"/>
    <w:rsid w:val="00A81F21"/>
    <w:rsid w:val="00A96AE9"/>
    <w:rsid w:val="00B10D79"/>
    <w:rsid w:val="00BC59F5"/>
    <w:rsid w:val="00BD151C"/>
    <w:rsid w:val="00BF5ABC"/>
    <w:rsid w:val="00C15293"/>
    <w:rsid w:val="00C24329"/>
    <w:rsid w:val="00CB583E"/>
    <w:rsid w:val="00CC4452"/>
    <w:rsid w:val="00CC4B28"/>
    <w:rsid w:val="00CD2DE0"/>
    <w:rsid w:val="00CE1AF3"/>
    <w:rsid w:val="00CE5225"/>
    <w:rsid w:val="00D12AE1"/>
    <w:rsid w:val="00D20B9E"/>
    <w:rsid w:val="00D25479"/>
    <w:rsid w:val="00E0026B"/>
    <w:rsid w:val="00E061FE"/>
    <w:rsid w:val="00E7049A"/>
    <w:rsid w:val="00E7590D"/>
    <w:rsid w:val="00F02398"/>
    <w:rsid w:val="00FA0F0C"/>
    <w:rsid w:val="00FE4E67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3A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4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1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B2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E40"/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1F21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81F21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427CA9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E7590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0B21CE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styleId="Rfrenceintense">
    <w:name w:val="Intense Reference"/>
    <w:basedOn w:val="Policepardfaut"/>
    <w:uiPriority w:val="32"/>
    <w:qFormat/>
    <w:rsid w:val="00806903"/>
    <w:rPr>
      <w:b/>
      <w:bCs/>
      <w:smallCaps/>
      <w:color w:val="auto"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4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1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B2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E40"/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1F21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81F21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427CA9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E7590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0B21CE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styleId="Rfrenceintense">
    <w:name w:val="Intense Reference"/>
    <w:basedOn w:val="Policepardfaut"/>
    <w:uiPriority w:val="32"/>
    <w:qFormat/>
    <w:rsid w:val="00806903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icaire">
  <a:themeElements>
    <a:clrScheme name="Apothicaire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icaire">
      <a:majorFont>
        <a:latin typeface="Book Antiqua"/>
        <a:ea typeface=""/>
        <a:cs typeface=""/>
        <a:font script="Jpan" typeface="ＭＳ Ｐ明朝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icair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844</Words>
  <Characters>4748</Characters>
  <Application>Microsoft Macintosh Word</Application>
  <DocSecurity>0</DocSecurity>
  <Lines>98</Lines>
  <Paragraphs>23</Paragraphs>
  <ScaleCrop>false</ScaleCrop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7</cp:revision>
  <dcterms:created xsi:type="dcterms:W3CDTF">2017-05-26T14:09:00Z</dcterms:created>
  <dcterms:modified xsi:type="dcterms:W3CDTF">2017-05-26T14:17:00Z</dcterms:modified>
</cp:coreProperties>
</file>